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94B9" w14:textId="77777777" w:rsidR="003E66E0" w:rsidRDefault="003E66E0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</w:p>
    <w:p w14:paraId="669BF2D0" w14:textId="1CF55805" w:rsidR="003E66E0" w:rsidRPr="00B13048" w:rsidRDefault="003E66E0" w:rsidP="00B13048">
      <w:pPr>
        <w:spacing w:line="330" w:lineRule="atLeast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  <w:bdr w:val="none" w:sz="0" w:space="0" w:color="auto" w:frame="1"/>
          <w:lang w:val="en-GB"/>
        </w:rPr>
      </w:pPr>
      <w:r w:rsidRPr="00B13048">
        <w:rPr>
          <w:rFonts w:asciiTheme="minorHAnsi" w:hAnsiTheme="minorHAnsi" w:cstheme="minorHAnsi"/>
          <w:b/>
          <w:bCs/>
          <w:color w:val="242424"/>
          <w:sz w:val="28"/>
          <w:szCs w:val="28"/>
          <w:bdr w:val="none" w:sz="0" w:space="0" w:color="auto" w:frame="1"/>
          <w:lang w:val="en-GB"/>
        </w:rPr>
        <w:t>Course literature</w:t>
      </w:r>
    </w:p>
    <w:p w14:paraId="7D52FE67" w14:textId="0B3E7915" w:rsidR="00DB1F5B" w:rsidRPr="00B13048" w:rsidRDefault="003E66E0" w:rsidP="00B13048">
      <w:pPr>
        <w:spacing w:line="330" w:lineRule="atLeast"/>
        <w:jc w:val="center"/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GB"/>
        </w:rPr>
      </w:pPr>
      <w:r w:rsidRPr="00B13048">
        <w:rPr>
          <w:rFonts w:asciiTheme="minorHAnsi" w:hAnsiTheme="minorHAnsi" w:cstheme="minorHAnsi"/>
          <w:color w:val="242424"/>
          <w:sz w:val="28"/>
          <w:szCs w:val="28"/>
          <w:bdr w:val="none" w:sz="0" w:space="0" w:color="auto" w:frame="1"/>
          <w:lang w:val="en-GB"/>
        </w:rPr>
        <w:t>Master's Thesis in Strategic Urban and Regional Planning Course Code: 709A16</w:t>
      </w:r>
    </w:p>
    <w:p w14:paraId="763AEDE9" w14:textId="4DC5FBFB" w:rsidR="00914435" w:rsidRDefault="0091443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</w:p>
    <w:p w14:paraId="3F609B3C" w14:textId="7902BAE0" w:rsidR="00914435" w:rsidRPr="00914435" w:rsidRDefault="00914435" w:rsidP="00B66F75">
      <w:pPr>
        <w:spacing w:line="330" w:lineRule="atLeast"/>
        <w:jc w:val="both"/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</w:pPr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Based on each </w:t>
      </w:r>
      <w:r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Master </w:t>
      </w:r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thesis project the literature below will be of varied importance and help, therefore it is up to every student to choose</w:t>
      </w:r>
      <w:r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 the</w:t>
      </w:r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 literature that is useful and apply it to workshop assignments </w:t>
      </w:r>
      <w:r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(</w:t>
      </w:r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and thesis</w:t>
      </w:r>
      <w:r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)</w:t>
      </w:r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. It is therefore not a requirement to read </w:t>
      </w:r>
      <w:proofErr w:type="gramStart"/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all of</w:t>
      </w:r>
      <w:proofErr w:type="gramEnd"/>
      <w:r w:rsidRPr="0091443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 the titles listed here.</w:t>
      </w:r>
      <w:r w:rsidR="003C025E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 xml:space="preserve"> There will be instructions given to each workshop.</w:t>
      </w:r>
    </w:p>
    <w:p w14:paraId="0D468228" w14:textId="77777777" w:rsidR="00333FD5" w:rsidRPr="00333FD5" w:rsidRDefault="00333FD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</w:p>
    <w:p w14:paraId="0FD932C6" w14:textId="73F6BE02" w:rsidR="00333FD5" w:rsidRPr="00DB1F5B" w:rsidRDefault="00333FD5" w:rsidP="00DB1F5B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  <w:r w:rsidRPr="00333FD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 xml:space="preserve">Books: </w:t>
      </w:r>
    </w:p>
    <w:p w14:paraId="010A98D1" w14:textId="77777777" w:rsidR="00914435" w:rsidRDefault="00914435" w:rsidP="00B66F75">
      <w:pPr>
        <w:rPr>
          <w:rFonts w:asciiTheme="minorHAnsi" w:hAnsiTheme="minorHAnsi" w:cstheme="minorHAnsi"/>
          <w:bdr w:val="none" w:sz="0" w:space="0" w:color="auto" w:frame="1"/>
          <w:lang w:val="en-US"/>
        </w:rPr>
      </w:pPr>
    </w:p>
    <w:p w14:paraId="0BB88E35" w14:textId="03B2E512" w:rsidR="00B66F75" w:rsidRPr="00333FD5" w:rsidRDefault="00B66F75" w:rsidP="00B66F75">
      <w:pPr>
        <w:rPr>
          <w:rFonts w:asciiTheme="minorHAnsi" w:hAnsiTheme="minorHAnsi" w:cstheme="minorHAnsi"/>
          <w:lang w:val="en-US"/>
        </w:rPr>
      </w:pPr>
      <w:r w:rsidRPr="00333FD5">
        <w:rPr>
          <w:rFonts w:asciiTheme="minorHAnsi" w:hAnsiTheme="minorHAnsi" w:cstheme="minorHAnsi"/>
          <w:bdr w:val="none" w:sz="0" w:space="0" w:color="auto" w:frame="1"/>
          <w:lang w:val="en-US"/>
        </w:rPr>
        <w:t xml:space="preserve">Farthing, S. (2016). Research Design in Urban Planning: A Student’s Guide. SAGE Publications Ltd. </w:t>
      </w:r>
    </w:p>
    <w:p w14:paraId="54F26367" w14:textId="77777777" w:rsidR="00B66F75" w:rsidRPr="00333FD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</w:p>
    <w:p w14:paraId="42733B89" w14:textId="3E255641" w:rsidR="00B66F75" w:rsidRPr="00B66F7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lang w:val="en-US"/>
        </w:rPr>
      </w:pP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Gomez, B., &amp; Jones III, J. P. (Eds.). (2010). </w:t>
      </w:r>
      <w:r w:rsidRPr="00B66F7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Research methods in geography: A critical introduction</w:t>
      </w: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(Vol. 6). John Wiley &amp; Sons.</w:t>
      </w:r>
    </w:p>
    <w:p w14:paraId="59BFD541" w14:textId="77777777" w:rsidR="00B66F75" w:rsidRPr="00B66F7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lang w:val="en-US"/>
        </w:rPr>
      </w:pP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</w:p>
    <w:p w14:paraId="2F64FA54" w14:textId="77777777" w:rsidR="00B66F75" w:rsidRPr="00B66F7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lang w:val="en-US"/>
        </w:rPr>
      </w:pP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Parsons, T., &amp; Knight, P. G. (2015). </w:t>
      </w:r>
      <w:r w:rsidRPr="00B66F7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How to do your dissertation in geography and related disciplines</w:t>
      </w: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. London: Routledge. </w:t>
      </w:r>
    </w:p>
    <w:p w14:paraId="4FE42894" w14:textId="0E54FE03" w:rsidR="00B66F75" w:rsidRPr="00333FD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</w:pP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 </w:t>
      </w:r>
    </w:p>
    <w:p w14:paraId="6DA16718" w14:textId="61392F59" w:rsidR="00B66F75" w:rsidRPr="003E66E0" w:rsidRDefault="00B66F75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333FD5">
        <w:rPr>
          <w:rStyle w:val="normaltextrun"/>
          <w:rFonts w:asciiTheme="minorHAnsi" w:hAnsiTheme="minorHAnsi" w:cstheme="minorHAnsi"/>
          <w:lang w:val="en-US"/>
        </w:rPr>
        <w:t xml:space="preserve">Phillips, R. &amp; Johns, J. (2012) </w:t>
      </w:r>
      <w:r w:rsidRPr="00914435">
        <w:rPr>
          <w:rStyle w:val="normaltextrun"/>
          <w:rFonts w:asciiTheme="minorHAnsi" w:hAnsiTheme="minorHAnsi" w:cstheme="minorHAnsi"/>
          <w:i/>
          <w:iCs/>
          <w:lang w:val="en-US"/>
        </w:rPr>
        <w:t>Fieldwork for Human Geography</w:t>
      </w:r>
      <w:r w:rsidRPr="00333FD5">
        <w:rPr>
          <w:rStyle w:val="normaltextrun"/>
          <w:rFonts w:asciiTheme="minorHAnsi" w:hAnsiTheme="minorHAnsi" w:cstheme="minorHAnsi"/>
          <w:lang w:val="en-US"/>
        </w:rPr>
        <w:t>. Sage publication Ltd. London </w:t>
      </w:r>
      <w:r w:rsidRPr="003E66E0">
        <w:rPr>
          <w:rStyle w:val="eop"/>
          <w:rFonts w:asciiTheme="minorHAnsi" w:hAnsiTheme="minorHAnsi" w:cstheme="minorHAnsi"/>
          <w:lang w:val="en-US"/>
        </w:rPr>
        <w:t> </w:t>
      </w:r>
    </w:p>
    <w:p w14:paraId="79D4A5C6" w14:textId="77777777" w:rsidR="00B66F75" w:rsidRPr="00B66F7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lang w:val="en-US"/>
        </w:rPr>
      </w:pPr>
    </w:p>
    <w:p w14:paraId="7EF59B37" w14:textId="28B260A3" w:rsidR="00B66F75" w:rsidRPr="00B66F75" w:rsidRDefault="00B66F75" w:rsidP="00B66F75">
      <w:pPr>
        <w:spacing w:line="330" w:lineRule="atLeast"/>
        <w:jc w:val="both"/>
        <w:rPr>
          <w:rFonts w:asciiTheme="minorHAnsi" w:hAnsiTheme="minorHAnsi" w:cstheme="minorHAnsi"/>
          <w:color w:val="242424"/>
          <w:lang w:val="en-US"/>
        </w:rPr>
      </w:pP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Rae, A., &amp; Wong, C, (</w:t>
      </w:r>
      <w:r w:rsidR="0091443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E</w:t>
      </w: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ds) (2021) </w:t>
      </w:r>
      <w:r w:rsidRPr="00B66F7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Applied Data Analysis for Urban Planning and Management</w:t>
      </w:r>
      <w:r w:rsidRPr="00B66F75">
        <w:rPr>
          <w:rFonts w:asciiTheme="minorHAnsi" w:hAnsiTheme="minorHAnsi" w:cstheme="minorHAnsi"/>
          <w:color w:val="242424"/>
          <w:bdr w:val="none" w:sz="0" w:space="0" w:color="auto" w:frame="1"/>
          <w:lang w:val="en-GB"/>
        </w:rPr>
        <w:t>. Sage.</w:t>
      </w:r>
      <w:r w:rsidRPr="00B66F75">
        <w:rPr>
          <w:rFonts w:asciiTheme="minorHAnsi" w:hAnsiTheme="minorHAnsi" w:cstheme="minorHAnsi"/>
          <w:i/>
          <w:iCs/>
          <w:color w:val="242424"/>
          <w:bdr w:val="none" w:sz="0" w:space="0" w:color="auto" w:frame="1"/>
          <w:lang w:val="en-GB"/>
        </w:rPr>
        <w:t> </w:t>
      </w:r>
    </w:p>
    <w:p w14:paraId="2F508AF0" w14:textId="77777777" w:rsidR="00B66F75" w:rsidRPr="00B66F75" w:rsidRDefault="00B66F75" w:rsidP="00B66F75">
      <w:pPr>
        <w:rPr>
          <w:rFonts w:asciiTheme="minorHAnsi" w:hAnsiTheme="minorHAnsi" w:cstheme="minorHAnsi"/>
          <w:lang w:val="en-US"/>
        </w:rPr>
      </w:pPr>
    </w:p>
    <w:p w14:paraId="779555F2" w14:textId="03410D9B" w:rsidR="00B66F75" w:rsidRPr="00333FD5" w:rsidRDefault="00B66F75" w:rsidP="00B66F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en-US"/>
        </w:rPr>
      </w:pPr>
      <w:r w:rsidRPr="00333FD5">
        <w:rPr>
          <w:rStyle w:val="eop"/>
          <w:rFonts w:asciiTheme="minorHAnsi" w:hAnsiTheme="minorHAnsi" w:cstheme="minorHAnsi"/>
          <w:color w:val="000000"/>
          <w:lang w:val="en-US"/>
        </w:rPr>
        <w:t> </w:t>
      </w:r>
    </w:p>
    <w:p w14:paraId="40FAC4D5" w14:textId="77777777" w:rsidR="00914435" w:rsidRDefault="00333FD5" w:rsidP="00B66F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en-US"/>
        </w:rPr>
      </w:pPr>
      <w:r w:rsidRPr="00333FD5">
        <w:rPr>
          <w:rStyle w:val="eop"/>
          <w:rFonts w:asciiTheme="minorHAnsi" w:hAnsiTheme="minorHAnsi" w:cstheme="minorHAnsi"/>
          <w:color w:val="000000"/>
          <w:lang w:val="en-US"/>
        </w:rPr>
        <w:t>Articles and more:</w:t>
      </w:r>
    </w:p>
    <w:p w14:paraId="6513E1A2" w14:textId="5E320BC7" w:rsidR="003E66E0" w:rsidRDefault="00333FD5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33FD5">
        <w:rPr>
          <w:rStyle w:val="eop"/>
          <w:rFonts w:asciiTheme="minorHAnsi" w:hAnsiTheme="minorHAnsi" w:cstheme="minorHAnsi"/>
          <w:color w:val="000000"/>
          <w:lang w:val="en-US"/>
        </w:rPr>
        <w:t xml:space="preserve"> </w:t>
      </w:r>
    </w:p>
    <w:p w14:paraId="1350D4B6" w14:textId="7786B873" w:rsidR="003E66E0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E66E0">
        <w:rPr>
          <w:rFonts w:asciiTheme="minorHAnsi" w:hAnsiTheme="minorHAnsi" w:cstheme="minorHAnsi"/>
          <w:color w:val="000000"/>
          <w:lang w:val="en-US"/>
        </w:rPr>
        <w:t>Bissell, D. (2018) How the everyday commute is changing who we are, The Conversation</w:t>
      </w:r>
      <w:r>
        <w:rPr>
          <w:rFonts w:asciiTheme="minorHAnsi" w:hAnsiTheme="minorHAnsi" w:cstheme="minorHAnsi"/>
          <w:color w:val="000000"/>
          <w:lang w:val="en-US"/>
        </w:rPr>
        <w:t>.</w:t>
      </w:r>
    </w:p>
    <w:p w14:paraId="7749D1CC" w14:textId="5811F45F" w:rsidR="003E66E0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E66E0">
        <w:rPr>
          <w:rFonts w:asciiTheme="minorHAnsi" w:hAnsiTheme="minorHAnsi" w:cstheme="minorHAnsi"/>
          <w:color w:val="000000"/>
          <w:lang w:val="en-US"/>
        </w:rPr>
        <w:t>Available   here: https://theconversation.com/how-the-everyday-commute-is-changing-who-we-are-100323</w:t>
      </w:r>
    </w:p>
    <w:p w14:paraId="222700CF" w14:textId="77777777" w:rsidR="008E0301" w:rsidRDefault="008E0301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1683EDA8" w14:textId="56B4E60B" w:rsidR="008E0301" w:rsidRDefault="008E0301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8E0301">
        <w:rPr>
          <w:rFonts w:asciiTheme="minorHAnsi" w:hAnsiTheme="minorHAnsi" w:cstheme="minorHAnsi"/>
          <w:color w:val="000000"/>
          <w:lang w:val="en-US"/>
        </w:rPr>
        <w:t xml:space="preserve">de </w:t>
      </w:r>
      <w:proofErr w:type="spellStart"/>
      <w:r w:rsidRPr="008E0301">
        <w:rPr>
          <w:rFonts w:asciiTheme="minorHAnsi" w:hAnsiTheme="minorHAnsi" w:cstheme="minorHAnsi"/>
          <w:color w:val="000000"/>
          <w:lang w:val="en-US"/>
        </w:rPr>
        <w:t>Certeau</w:t>
      </w:r>
      <w:proofErr w:type="spellEnd"/>
      <w:r w:rsidRPr="008E0301">
        <w:rPr>
          <w:rFonts w:asciiTheme="minorHAnsi" w:hAnsiTheme="minorHAnsi" w:cstheme="minorHAnsi"/>
          <w:color w:val="000000"/>
          <w:lang w:val="en-US"/>
        </w:rPr>
        <w:t xml:space="preserve">, M. (1984). </w:t>
      </w:r>
      <w:r w:rsidRPr="00B13048">
        <w:rPr>
          <w:rFonts w:asciiTheme="minorHAnsi" w:hAnsiTheme="minorHAnsi" w:cstheme="minorHAnsi"/>
          <w:color w:val="000000"/>
          <w:lang w:val="en-US"/>
        </w:rPr>
        <w:t>Walking in the City (VII),</w:t>
      </w:r>
      <w:r w:rsidRPr="008E0301">
        <w:rPr>
          <w:rFonts w:asciiTheme="minorHAnsi" w:hAnsiTheme="minorHAnsi" w:cstheme="minorHAnsi"/>
          <w:color w:val="000000"/>
          <w:lang w:val="en-US"/>
        </w:rPr>
        <w:t xml:space="preserve"> in </w:t>
      </w:r>
      <w:r w:rsidRPr="00B13048">
        <w:rPr>
          <w:rFonts w:asciiTheme="minorHAnsi" w:hAnsiTheme="minorHAnsi" w:cstheme="minorHAnsi"/>
          <w:i/>
          <w:iCs/>
          <w:color w:val="000000"/>
          <w:lang w:val="en-US"/>
        </w:rPr>
        <w:t>The Practice of Everyday Life</w:t>
      </w:r>
      <w:r w:rsidRPr="008E0301">
        <w:rPr>
          <w:rFonts w:asciiTheme="minorHAnsi" w:hAnsiTheme="minorHAnsi" w:cstheme="minorHAnsi"/>
          <w:color w:val="000000"/>
          <w:lang w:val="en-US"/>
        </w:rPr>
        <w:t>, pp. 91–110. University of California Press.</w:t>
      </w:r>
    </w:p>
    <w:p w14:paraId="749D5BEB" w14:textId="77777777" w:rsidR="008E0301" w:rsidRDefault="008E0301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44138C95" w14:textId="1CF8A0E8" w:rsidR="008E0301" w:rsidRDefault="008E0301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England, </w:t>
      </w:r>
      <w:r w:rsidRPr="003E66E0">
        <w:rPr>
          <w:rFonts w:asciiTheme="minorHAnsi" w:hAnsiTheme="minorHAnsi" w:cstheme="minorHAnsi"/>
          <w:color w:val="000000"/>
          <w:lang w:val="en-US"/>
        </w:rPr>
        <w:t>K</w:t>
      </w:r>
      <w:r w:rsidR="00B13048">
        <w:rPr>
          <w:rFonts w:asciiTheme="minorHAnsi" w:hAnsiTheme="minorHAnsi" w:cstheme="minorHAnsi"/>
          <w:color w:val="000000"/>
          <w:lang w:val="en-US"/>
        </w:rPr>
        <w:t xml:space="preserve">. </w:t>
      </w:r>
      <w:r w:rsidRPr="003E66E0">
        <w:rPr>
          <w:rFonts w:asciiTheme="minorHAnsi" w:hAnsiTheme="minorHAnsi" w:cstheme="minorHAnsi"/>
          <w:color w:val="000000"/>
          <w:lang w:val="en-US"/>
        </w:rPr>
        <w:t>(1994</w:t>
      </w:r>
      <w:proofErr w:type="gramStart"/>
      <w:r w:rsidRPr="003E66E0">
        <w:rPr>
          <w:rFonts w:asciiTheme="minorHAnsi" w:hAnsiTheme="minorHAnsi" w:cstheme="minorHAnsi"/>
          <w:color w:val="000000"/>
          <w:lang w:val="en-US"/>
        </w:rPr>
        <w:t>)  Getting</w:t>
      </w:r>
      <w:proofErr w:type="gramEnd"/>
      <w:r w:rsidRPr="003E66E0">
        <w:rPr>
          <w:rFonts w:asciiTheme="minorHAnsi" w:hAnsiTheme="minorHAnsi" w:cstheme="minorHAnsi"/>
          <w:color w:val="000000"/>
          <w:lang w:val="en-US"/>
        </w:rPr>
        <w:t xml:space="preserve">  personal:  Reflexivity,  positionality,  and  feminist  research, </w:t>
      </w:r>
      <w:r w:rsidRPr="00B13048">
        <w:rPr>
          <w:rFonts w:asciiTheme="minorHAnsi" w:hAnsiTheme="minorHAnsi" w:cstheme="minorHAnsi"/>
          <w:i/>
          <w:iCs/>
          <w:color w:val="000000"/>
          <w:lang w:val="en-US"/>
        </w:rPr>
        <w:t>Professional Geographer</w:t>
      </w:r>
      <w:r w:rsidRPr="003E66E0">
        <w:rPr>
          <w:rFonts w:asciiTheme="minorHAnsi" w:hAnsiTheme="minorHAnsi" w:cstheme="minorHAnsi"/>
          <w:color w:val="000000"/>
          <w:lang w:val="en-US"/>
        </w:rPr>
        <w:t>, 46, pp 80-89.</w:t>
      </w:r>
    </w:p>
    <w:p w14:paraId="0993EA3E" w14:textId="0A8DEFBE" w:rsidR="003E66E0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38E534A5" w14:textId="624F8C8C" w:rsidR="008E0301" w:rsidRPr="00B13048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B13048">
        <w:rPr>
          <w:rFonts w:asciiTheme="minorHAnsi" w:hAnsiTheme="minorHAnsi" w:cstheme="minorHAnsi"/>
          <w:color w:val="000000"/>
          <w:lang w:val="en-US"/>
        </w:rPr>
        <w:t>Goetz, A</w:t>
      </w:r>
      <w:r w:rsidR="00B13048">
        <w:rPr>
          <w:rFonts w:asciiTheme="minorHAnsi" w:hAnsiTheme="minorHAnsi" w:cstheme="minorHAnsi"/>
          <w:color w:val="000000"/>
          <w:lang w:val="en-US"/>
        </w:rPr>
        <w:t>,</w:t>
      </w:r>
      <w:r w:rsidRPr="00B13048">
        <w:rPr>
          <w:rFonts w:asciiTheme="minorHAnsi" w:hAnsiTheme="minorHAnsi" w:cstheme="minorHAnsi"/>
          <w:color w:val="000000"/>
          <w:lang w:val="en-US"/>
        </w:rPr>
        <w:t xml:space="preserve"> R. 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Vowles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 xml:space="preserve">, T. M., &amp; Tierney, S. (2009). Bridging the qualitative–quantitative divide in transport geography. </w:t>
      </w:r>
      <w:r w:rsidRPr="00B13048">
        <w:rPr>
          <w:rFonts w:asciiTheme="minorHAnsi" w:hAnsiTheme="minorHAnsi" w:cstheme="minorHAnsi"/>
          <w:i/>
          <w:iCs/>
          <w:color w:val="000000"/>
          <w:lang w:val="en-US"/>
        </w:rPr>
        <w:t>The Professional Geographer</w:t>
      </w:r>
      <w:r w:rsidRPr="00B13048">
        <w:rPr>
          <w:rFonts w:asciiTheme="minorHAnsi" w:hAnsiTheme="minorHAnsi" w:cstheme="minorHAnsi"/>
          <w:color w:val="000000"/>
          <w:lang w:val="en-US"/>
        </w:rPr>
        <w:t xml:space="preserve"> 61(3)</w:t>
      </w:r>
      <w:r w:rsidR="00B13048">
        <w:rPr>
          <w:rFonts w:asciiTheme="minorHAnsi" w:hAnsiTheme="minorHAnsi" w:cstheme="minorHAnsi"/>
          <w:color w:val="000000"/>
          <w:lang w:val="en-US"/>
        </w:rPr>
        <w:t xml:space="preserve"> pp</w:t>
      </w:r>
      <w:r w:rsidRPr="00B13048">
        <w:rPr>
          <w:rFonts w:asciiTheme="minorHAnsi" w:hAnsiTheme="minorHAnsi" w:cstheme="minorHAnsi"/>
          <w:color w:val="000000"/>
          <w:lang w:val="en-US"/>
        </w:rPr>
        <w:t xml:space="preserve"> 323-335.</w:t>
      </w:r>
    </w:p>
    <w:p w14:paraId="6EA053E9" w14:textId="38F50002" w:rsidR="008E0301" w:rsidRPr="00B13048" w:rsidRDefault="008E0301" w:rsidP="008E0301">
      <w:pPr>
        <w:pStyle w:val="Normalwebb"/>
        <w:rPr>
          <w:rFonts w:asciiTheme="minorHAnsi" w:hAnsiTheme="minorHAnsi" w:cstheme="minorHAnsi"/>
          <w:lang w:val="en-US"/>
        </w:rPr>
      </w:pPr>
      <w:proofErr w:type="spellStart"/>
      <w:r w:rsidRPr="00B13048">
        <w:rPr>
          <w:rFonts w:asciiTheme="minorHAnsi" w:hAnsiTheme="minorHAnsi" w:cstheme="minorHAnsi"/>
          <w:lang w:val="en-US"/>
        </w:rPr>
        <w:t>Kusenbach</w:t>
      </w:r>
      <w:proofErr w:type="spellEnd"/>
      <w:r w:rsidRPr="00B13048">
        <w:rPr>
          <w:rFonts w:asciiTheme="minorHAnsi" w:hAnsiTheme="minorHAnsi" w:cstheme="minorHAnsi"/>
          <w:lang w:val="en-US"/>
        </w:rPr>
        <w:t xml:space="preserve">, M. (2003). Street phenomenology: The go-along as ethnographic research tool. </w:t>
      </w:r>
      <w:r w:rsidRPr="00B13048">
        <w:rPr>
          <w:rFonts w:asciiTheme="minorHAnsi" w:hAnsiTheme="minorHAnsi" w:cstheme="minorHAnsi"/>
          <w:i/>
          <w:iCs/>
          <w:lang w:val="en-US"/>
        </w:rPr>
        <w:t xml:space="preserve">Ethnography </w:t>
      </w:r>
      <w:r w:rsidRPr="00B13048">
        <w:rPr>
          <w:rFonts w:asciiTheme="minorHAnsi" w:hAnsiTheme="minorHAnsi" w:cstheme="minorHAnsi"/>
          <w:lang w:val="en-US"/>
        </w:rPr>
        <w:t>4(3)</w:t>
      </w:r>
      <w:r w:rsidR="00B85CA3">
        <w:rPr>
          <w:rFonts w:asciiTheme="minorHAnsi" w:hAnsiTheme="minorHAnsi" w:cstheme="minorHAnsi"/>
          <w:lang w:val="en-US"/>
        </w:rPr>
        <w:t xml:space="preserve"> pp </w:t>
      </w:r>
      <w:r w:rsidRPr="00B13048">
        <w:rPr>
          <w:rFonts w:asciiTheme="minorHAnsi" w:hAnsiTheme="minorHAnsi" w:cstheme="minorHAnsi"/>
          <w:lang w:val="en-US"/>
        </w:rPr>
        <w:t xml:space="preserve">455–485. </w:t>
      </w:r>
    </w:p>
    <w:p w14:paraId="69CEBFD7" w14:textId="7BFB9991" w:rsidR="00B13048" w:rsidRPr="00B13048" w:rsidRDefault="00B13048" w:rsidP="008E0301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lastRenderedPageBreak/>
        <w:t xml:space="preserve">Lefebvre, H. &amp; </w:t>
      </w:r>
      <w:proofErr w:type="spellStart"/>
      <w:r w:rsidRPr="00B13048">
        <w:rPr>
          <w:rFonts w:asciiTheme="minorHAnsi" w:hAnsiTheme="minorHAnsi" w:cstheme="minorHAnsi"/>
          <w:lang w:val="en-US"/>
        </w:rPr>
        <w:t>Régulier</w:t>
      </w:r>
      <w:proofErr w:type="spellEnd"/>
      <w:r w:rsidRPr="00B13048">
        <w:rPr>
          <w:rFonts w:asciiTheme="minorHAnsi" w:hAnsiTheme="minorHAnsi" w:cstheme="minorHAnsi"/>
          <w:lang w:val="en-US"/>
        </w:rPr>
        <w:t xml:space="preserve">, C. (2004). The </w:t>
      </w:r>
      <w:proofErr w:type="spellStart"/>
      <w:r w:rsidRPr="00B13048">
        <w:rPr>
          <w:rFonts w:asciiTheme="minorHAnsi" w:hAnsiTheme="minorHAnsi" w:cstheme="minorHAnsi"/>
          <w:lang w:val="en-US"/>
        </w:rPr>
        <w:t>Rhythmanalytical</w:t>
      </w:r>
      <w:proofErr w:type="spellEnd"/>
      <w:r w:rsidRPr="00B13048">
        <w:rPr>
          <w:rFonts w:asciiTheme="minorHAnsi" w:hAnsiTheme="minorHAnsi" w:cstheme="minorHAnsi"/>
          <w:lang w:val="en-US"/>
        </w:rPr>
        <w:t xml:space="preserve"> Project, in </w:t>
      </w:r>
      <w:proofErr w:type="spellStart"/>
      <w:r w:rsidRPr="00B13048">
        <w:rPr>
          <w:rFonts w:asciiTheme="minorHAnsi" w:hAnsiTheme="minorHAnsi" w:cstheme="minorHAnsi"/>
          <w:i/>
          <w:iCs/>
          <w:lang w:val="en-US"/>
        </w:rPr>
        <w:t>Rhythmanalysis</w:t>
      </w:r>
      <w:proofErr w:type="spellEnd"/>
      <w:r w:rsidRPr="00B13048">
        <w:rPr>
          <w:rFonts w:asciiTheme="minorHAnsi" w:hAnsiTheme="minorHAnsi" w:cstheme="minorHAnsi"/>
          <w:i/>
          <w:iCs/>
          <w:lang w:val="en-US"/>
        </w:rPr>
        <w:t>: Space, Time and Everyday Life</w:t>
      </w:r>
      <w:r w:rsidR="00B85CA3">
        <w:rPr>
          <w:rFonts w:asciiTheme="minorHAnsi" w:hAnsiTheme="minorHAnsi" w:cstheme="minorHAnsi"/>
          <w:lang w:val="en-US"/>
        </w:rPr>
        <w:t>.</w:t>
      </w:r>
      <w:r w:rsidRPr="00B13048">
        <w:rPr>
          <w:rFonts w:asciiTheme="minorHAnsi" w:hAnsiTheme="minorHAnsi" w:cstheme="minorHAnsi"/>
          <w:lang w:val="en-US"/>
        </w:rPr>
        <w:t xml:space="preserve"> pp. 71–83. Continuum.</w:t>
      </w:r>
    </w:p>
    <w:p w14:paraId="41EB0A59" w14:textId="59050071" w:rsidR="008E0301" w:rsidRPr="00B13048" w:rsidRDefault="008E0301" w:rsidP="008E03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proofErr w:type="gramStart"/>
      <w:r w:rsidRPr="00B13048">
        <w:rPr>
          <w:rFonts w:asciiTheme="minorHAnsi" w:hAnsiTheme="minorHAnsi" w:cstheme="minorHAnsi"/>
          <w:color w:val="000000"/>
          <w:lang w:val="en-US"/>
        </w:rPr>
        <w:t>Lorimer,  H.</w:t>
      </w:r>
      <w:proofErr w:type="gramEnd"/>
      <w:r w:rsidRPr="00B13048">
        <w:rPr>
          <w:rFonts w:asciiTheme="minorHAnsi" w:hAnsiTheme="minorHAnsi" w:cstheme="minorHAnsi"/>
          <w:color w:val="000000"/>
          <w:lang w:val="en-US"/>
        </w:rPr>
        <w:t xml:space="preserve">,  &amp;  Parr,  H.  (2014).  Excursions:  </w:t>
      </w:r>
      <w:proofErr w:type="gramStart"/>
      <w:r w:rsidRPr="00B13048">
        <w:rPr>
          <w:rFonts w:asciiTheme="minorHAnsi" w:hAnsiTheme="minorHAnsi" w:cstheme="minorHAnsi"/>
          <w:color w:val="000000"/>
          <w:lang w:val="en-US"/>
        </w:rPr>
        <w:t>Telling  stories</w:t>
      </w:r>
      <w:proofErr w:type="gramEnd"/>
      <w:r w:rsidRPr="00B13048">
        <w:rPr>
          <w:rFonts w:asciiTheme="minorHAnsi" w:hAnsiTheme="minorHAnsi" w:cstheme="minorHAnsi"/>
          <w:color w:val="000000"/>
          <w:lang w:val="en-US"/>
        </w:rPr>
        <w:t xml:space="preserve">  and  journeys.  </w:t>
      </w:r>
      <w:r w:rsidRPr="00B13048">
        <w:rPr>
          <w:rFonts w:asciiTheme="minorHAnsi" w:hAnsiTheme="minorHAnsi" w:cstheme="minorHAnsi"/>
          <w:i/>
          <w:iCs/>
          <w:color w:val="000000"/>
          <w:lang w:val="en-US"/>
        </w:rPr>
        <w:t>Cultural Geographies</w:t>
      </w:r>
      <w:r w:rsidR="00B85CA3">
        <w:rPr>
          <w:rFonts w:asciiTheme="minorHAnsi" w:hAnsiTheme="minorHAnsi" w:cstheme="minorHAnsi"/>
          <w:color w:val="000000"/>
          <w:lang w:val="en-US"/>
        </w:rPr>
        <w:t>.</w:t>
      </w:r>
      <w:r w:rsidRPr="00B13048">
        <w:rPr>
          <w:rFonts w:asciiTheme="minorHAnsi" w:hAnsiTheme="minorHAnsi" w:cstheme="minorHAnsi"/>
          <w:color w:val="000000"/>
          <w:lang w:val="en-US"/>
        </w:rPr>
        <w:t xml:space="preserve"> 2 </w:t>
      </w:r>
      <w:r w:rsidR="00B85CA3">
        <w:rPr>
          <w:rFonts w:asciiTheme="minorHAnsi" w:hAnsiTheme="minorHAnsi" w:cstheme="minorHAnsi"/>
          <w:color w:val="000000"/>
          <w:lang w:val="en-US"/>
        </w:rPr>
        <w:t xml:space="preserve">pp. </w:t>
      </w:r>
      <w:r w:rsidRPr="00B13048">
        <w:rPr>
          <w:rFonts w:asciiTheme="minorHAnsi" w:hAnsiTheme="minorHAnsi" w:cstheme="minorHAnsi"/>
          <w:color w:val="000000"/>
          <w:lang w:val="en-US"/>
        </w:rPr>
        <w:t xml:space="preserve">543–547. </w:t>
      </w:r>
      <w:hyperlink r:id="rId4" w:history="1">
        <w:r w:rsidRPr="00B13048">
          <w:rPr>
            <w:rStyle w:val="Hyperlnk"/>
            <w:rFonts w:asciiTheme="minorHAnsi" w:hAnsiTheme="minorHAnsi" w:cstheme="minorHAnsi"/>
            <w:lang w:val="en-US"/>
          </w:rPr>
          <w:t>https://doi.org/10.1177/1474474014547326</w:t>
        </w:r>
      </w:hyperlink>
    </w:p>
    <w:p w14:paraId="26F11302" w14:textId="507055F8" w:rsidR="00B13048" w:rsidRPr="00B13048" w:rsidRDefault="008E0301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t>Lee, J. &amp; Ingold, T. (2006). Fieldwork on foot: perceiving, routing, socializing</w:t>
      </w:r>
      <w:r w:rsidR="00B13048">
        <w:rPr>
          <w:rFonts w:asciiTheme="minorHAnsi" w:hAnsiTheme="minorHAnsi" w:cstheme="minorHAnsi"/>
          <w:lang w:val="en-US"/>
        </w:rPr>
        <w:t>.</w:t>
      </w:r>
      <w:r w:rsidRPr="00B13048">
        <w:rPr>
          <w:rFonts w:asciiTheme="minorHAnsi" w:hAnsiTheme="minorHAnsi" w:cstheme="minorHAnsi"/>
          <w:lang w:val="en-US"/>
        </w:rPr>
        <w:t xml:space="preserve"> </w:t>
      </w:r>
      <w:r w:rsidR="00B13048">
        <w:rPr>
          <w:rFonts w:asciiTheme="minorHAnsi" w:hAnsiTheme="minorHAnsi" w:cstheme="minorHAnsi"/>
          <w:lang w:val="en-US"/>
        </w:rPr>
        <w:t>I</w:t>
      </w:r>
      <w:r w:rsidRPr="00B13048">
        <w:rPr>
          <w:rFonts w:asciiTheme="minorHAnsi" w:hAnsiTheme="minorHAnsi" w:cstheme="minorHAnsi"/>
          <w:lang w:val="en-US"/>
        </w:rPr>
        <w:t xml:space="preserve">n </w:t>
      </w:r>
      <w:r w:rsidRPr="00B13048">
        <w:rPr>
          <w:rFonts w:asciiTheme="minorHAnsi" w:hAnsiTheme="minorHAnsi" w:cstheme="minorHAnsi"/>
          <w:i/>
          <w:iCs/>
          <w:lang w:val="en-US"/>
        </w:rPr>
        <w:t>Locating the Field. Space, Place and Context in Anthropology</w:t>
      </w:r>
      <w:r w:rsidRPr="00B13048">
        <w:rPr>
          <w:rFonts w:asciiTheme="minorHAnsi" w:hAnsiTheme="minorHAnsi" w:cstheme="minorHAnsi"/>
          <w:lang w:val="en-US"/>
        </w:rPr>
        <w:t>, pp. 67–86. Berg.</w:t>
      </w:r>
    </w:p>
    <w:p w14:paraId="05EE6DA5" w14:textId="584C5A36" w:rsidR="00B13048" w:rsidRPr="00B13048" w:rsidRDefault="00B13048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t xml:space="preserve">Metzger, J. (2010). Strange spaces: A rationale for bringing art and artists into the planning process. </w:t>
      </w:r>
      <w:r w:rsidRPr="00B13048">
        <w:rPr>
          <w:rFonts w:asciiTheme="minorHAnsi" w:hAnsiTheme="minorHAnsi" w:cstheme="minorHAnsi"/>
          <w:i/>
          <w:iCs/>
          <w:lang w:val="en-US"/>
        </w:rPr>
        <w:t xml:space="preserve">Planning Theory </w:t>
      </w:r>
      <w:r w:rsidRPr="00B13048">
        <w:rPr>
          <w:rFonts w:asciiTheme="minorHAnsi" w:hAnsiTheme="minorHAnsi" w:cstheme="minorHAnsi"/>
          <w:lang w:val="en-US"/>
        </w:rPr>
        <w:t>10</w:t>
      </w:r>
      <w:r w:rsidR="00B85CA3">
        <w:rPr>
          <w:rFonts w:asciiTheme="minorHAnsi" w:hAnsiTheme="minorHAnsi" w:cstheme="minorHAnsi"/>
          <w:lang w:val="en-US"/>
        </w:rPr>
        <w:t xml:space="preserve"> </w:t>
      </w:r>
      <w:r w:rsidRPr="00B13048">
        <w:rPr>
          <w:rFonts w:asciiTheme="minorHAnsi" w:hAnsiTheme="minorHAnsi" w:cstheme="minorHAnsi"/>
          <w:lang w:val="en-US"/>
        </w:rPr>
        <w:t>(3)</w:t>
      </w:r>
      <w:r w:rsidR="00B85CA3">
        <w:rPr>
          <w:rFonts w:asciiTheme="minorHAnsi" w:hAnsiTheme="minorHAnsi" w:cstheme="minorHAnsi"/>
          <w:lang w:val="en-US"/>
        </w:rPr>
        <w:t xml:space="preserve"> pp.</w:t>
      </w:r>
      <w:r w:rsidRPr="00B13048">
        <w:rPr>
          <w:rFonts w:asciiTheme="minorHAnsi" w:hAnsiTheme="minorHAnsi" w:cstheme="minorHAnsi"/>
          <w:lang w:val="en-US"/>
        </w:rPr>
        <w:t xml:space="preserve"> 213–238.</w:t>
      </w:r>
    </w:p>
    <w:p w14:paraId="29537B83" w14:textId="2723C592" w:rsidR="00B13048" w:rsidRDefault="00B13048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t xml:space="preserve">Paavola, S. (2005). Peircean abduction: instinct or inference. </w:t>
      </w:r>
      <w:proofErr w:type="spellStart"/>
      <w:r w:rsidRPr="00B13048">
        <w:rPr>
          <w:rFonts w:asciiTheme="minorHAnsi" w:hAnsiTheme="minorHAnsi" w:cstheme="minorHAnsi"/>
          <w:i/>
          <w:iCs/>
          <w:lang w:val="en-US"/>
        </w:rPr>
        <w:t>Semiotica</w:t>
      </w:r>
      <w:proofErr w:type="spellEnd"/>
      <w:r w:rsidRPr="00B1304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B13048">
        <w:rPr>
          <w:rFonts w:asciiTheme="minorHAnsi" w:hAnsiTheme="minorHAnsi" w:cstheme="minorHAnsi"/>
          <w:lang w:val="en-US"/>
        </w:rPr>
        <w:t>153(1)</w:t>
      </w:r>
      <w:r w:rsidR="00B85CA3">
        <w:rPr>
          <w:rFonts w:asciiTheme="minorHAnsi" w:hAnsiTheme="minorHAnsi" w:cstheme="minorHAnsi"/>
          <w:lang w:val="en-US"/>
        </w:rPr>
        <w:t xml:space="preserve"> pp.</w:t>
      </w:r>
      <w:r w:rsidRPr="00B13048">
        <w:rPr>
          <w:rFonts w:asciiTheme="minorHAnsi" w:hAnsiTheme="minorHAnsi" w:cstheme="minorHAnsi"/>
          <w:lang w:val="en-US"/>
        </w:rPr>
        <w:t xml:space="preserve"> 131–154</w:t>
      </w:r>
      <w:r>
        <w:rPr>
          <w:rFonts w:asciiTheme="minorHAnsi" w:hAnsiTheme="minorHAnsi" w:cstheme="minorHAnsi"/>
          <w:lang w:val="en-US"/>
        </w:rPr>
        <w:t>.</w:t>
      </w:r>
    </w:p>
    <w:p w14:paraId="71465DEE" w14:textId="4CB726AC" w:rsidR="003E66E0" w:rsidRPr="00B13048" w:rsidRDefault="00B13048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br/>
        <w:t xml:space="preserve">Rubin, H.J. &amp; Rubin, </w:t>
      </w:r>
      <w:proofErr w:type="spellStart"/>
      <w:r w:rsidRPr="00B13048">
        <w:rPr>
          <w:rFonts w:asciiTheme="minorHAnsi" w:hAnsiTheme="minorHAnsi" w:cstheme="minorHAnsi"/>
          <w:lang w:val="en-US"/>
        </w:rPr>
        <w:t>I.S</w:t>
      </w:r>
      <w:proofErr w:type="spellEnd"/>
      <w:r w:rsidRPr="00B13048">
        <w:rPr>
          <w:rFonts w:asciiTheme="minorHAnsi" w:hAnsiTheme="minorHAnsi" w:cstheme="minorHAnsi"/>
          <w:lang w:val="en-US"/>
        </w:rPr>
        <w:t xml:space="preserve">. (2005) ‘Structuring the interview’ in </w:t>
      </w:r>
      <w:r w:rsidRPr="00B13048">
        <w:rPr>
          <w:rFonts w:asciiTheme="minorHAnsi" w:hAnsiTheme="minorHAnsi" w:cstheme="minorHAnsi"/>
          <w:i/>
          <w:iCs/>
          <w:lang w:val="en-US"/>
        </w:rPr>
        <w:t>Qualitative Interviewing: The Art of Hearing Data</w:t>
      </w:r>
      <w:r w:rsidRPr="00B13048">
        <w:rPr>
          <w:rFonts w:asciiTheme="minorHAnsi" w:hAnsiTheme="minorHAnsi" w:cstheme="minorHAnsi"/>
          <w:lang w:val="en-US"/>
        </w:rPr>
        <w:t>. Sage.</w:t>
      </w:r>
    </w:p>
    <w:p w14:paraId="322FBE1E" w14:textId="1CBB5053" w:rsidR="00B13048" w:rsidRPr="00B13048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B13048">
        <w:rPr>
          <w:rFonts w:asciiTheme="minorHAnsi" w:hAnsiTheme="minorHAnsi" w:cstheme="minorHAnsi"/>
          <w:color w:val="000000"/>
          <w:lang w:val="en-US"/>
        </w:rPr>
        <w:t xml:space="preserve">Rose, </w:t>
      </w:r>
      <w:proofErr w:type="gramStart"/>
      <w:r w:rsidRPr="00B13048">
        <w:rPr>
          <w:rFonts w:asciiTheme="minorHAnsi" w:hAnsiTheme="minorHAnsi" w:cstheme="minorHAnsi"/>
          <w:color w:val="000000"/>
          <w:lang w:val="en-US"/>
        </w:rPr>
        <w:t>G.(</w:t>
      </w:r>
      <w:proofErr w:type="gramEnd"/>
      <w:r w:rsidRPr="00B13048">
        <w:rPr>
          <w:rFonts w:asciiTheme="minorHAnsi" w:hAnsiTheme="minorHAnsi" w:cstheme="minorHAnsi"/>
          <w:color w:val="000000"/>
          <w:lang w:val="en-US"/>
        </w:rPr>
        <w:t xml:space="preserve">1997)  Situating  knowledges:  Positionality,  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reflexivities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 xml:space="preserve">  and  other  tactics, </w:t>
      </w:r>
      <w:r w:rsidRPr="00B13048">
        <w:rPr>
          <w:rFonts w:asciiTheme="minorHAnsi" w:hAnsiTheme="minorHAnsi" w:cstheme="minorHAnsi"/>
          <w:i/>
          <w:iCs/>
          <w:color w:val="000000"/>
          <w:lang w:val="en-US"/>
        </w:rPr>
        <w:t>Progress in Human Geography</w:t>
      </w:r>
      <w:r w:rsidRPr="00B13048">
        <w:rPr>
          <w:rFonts w:asciiTheme="minorHAnsi" w:hAnsiTheme="minorHAnsi" w:cstheme="minorHAnsi"/>
          <w:color w:val="000000"/>
          <w:lang w:val="en-US"/>
        </w:rPr>
        <w:t>, 21</w:t>
      </w:r>
      <w:r w:rsidR="00B85CA3">
        <w:rPr>
          <w:rFonts w:asciiTheme="minorHAnsi" w:hAnsiTheme="minorHAnsi" w:cstheme="minorHAnsi"/>
          <w:color w:val="000000"/>
          <w:lang w:val="en-US"/>
        </w:rPr>
        <w:t xml:space="preserve"> pp. </w:t>
      </w:r>
      <w:r w:rsidRPr="00B13048">
        <w:rPr>
          <w:rFonts w:asciiTheme="minorHAnsi" w:hAnsiTheme="minorHAnsi" w:cstheme="minorHAnsi"/>
          <w:color w:val="000000"/>
          <w:lang w:val="en-US"/>
        </w:rPr>
        <w:t>305-320</w:t>
      </w:r>
    </w:p>
    <w:p w14:paraId="73280CB2" w14:textId="6900A6A4" w:rsidR="00B13048" w:rsidRPr="00B13048" w:rsidRDefault="00B13048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t xml:space="preserve">Sachs Olsen, C. (2022). Co‐creation beyond humans: The arts of multispecies placemaking. </w:t>
      </w:r>
      <w:r w:rsidRPr="00B13048">
        <w:rPr>
          <w:rFonts w:asciiTheme="minorHAnsi" w:hAnsiTheme="minorHAnsi" w:cstheme="minorHAnsi"/>
          <w:i/>
          <w:iCs/>
          <w:lang w:val="en-US"/>
        </w:rPr>
        <w:t xml:space="preserve">Urban Planning </w:t>
      </w:r>
      <w:r w:rsidRPr="00B13048">
        <w:rPr>
          <w:rFonts w:asciiTheme="minorHAnsi" w:hAnsiTheme="minorHAnsi" w:cstheme="minorHAnsi"/>
          <w:lang w:val="en-US"/>
        </w:rPr>
        <w:t>7(3)</w:t>
      </w:r>
      <w:r w:rsidR="00B85CA3">
        <w:rPr>
          <w:rFonts w:asciiTheme="minorHAnsi" w:hAnsiTheme="minorHAnsi" w:cstheme="minorHAnsi"/>
          <w:lang w:val="en-US"/>
        </w:rPr>
        <w:t xml:space="preserve"> pp.</w:t>
      </w:r>
      <w:r w:rsidRPr="00B13048">
        <w:rPr>
          <w:rFonts w:asciiTheme="minorHAnsi" w:hAnsiTheme="minorHAnsi" w:cstheme="minorHAnsi"/>
          <w:lang w:val="en-US"/>
        </w:rPr>
        <w:t xml:space="preserve"> 315–325.</w:t>
      </w:r>
    </w:p>
    <w:p w14:paraId="15287042" w14:textId="3A93C754" w:rsidR="00B13048" w:rsidRPr="00B13048" w:rsidRDefault="00B13048" w:rsidP="00B13048">
      <w:pPr>
        <w:pStyle w:val="Normalwebb"/>
        <w:rPr>
          <w:rFonts w:asciiTheme="minorHAnsi" w:hAnsiTheme="minorHAnsi" w:cstheme="minorHAnsi"/>
          <w:lang w:val="en-US"/>
        </w:rPr>
      </w:pPr>
      <w:r w:rsidRPr="00B13048">
        <w:rPr>
          <w:rFonts w:asciiTheme="minorHAnsi" w:hAnsiTheme="minorHAnsi" w:cstheme="minorHAnsi"/>
          <w:lang w:val="en-US"/>
        </w:rPr>
        <w:t>Scott, J.C. (1998). Chapter 4: The High-Modernist City: An Experiment and a Critique</w:t>
      </w:r>
      <w:r>
        <w:rPr>
          <w:rFonts w:asciiTheme="minorHAnsi" w:hAnsiTheme="minorHAnsi" w:cstheme="minorHAnsi"/>
          <w:lang w:val="en-US"/>
        </w:rPr>
        <w:t>.</w:t>
      </w:r>
      <w:r w:rsidRPr="00B13048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</w:t>
      </w:r>
      <w:r w:rsidRPr="00B13048">
        <w:rPr>
          <w:rFonts w:asciiTheme="minorHAnsi" w:hAnsiTheme="minorHAnsi" w:cstheme="minorHAnsi"/>
          <w:lang w:val="en-US"/>
        </w:rPr>
        <w:t xml:space="preserve">n </w:t>
      </w:r>
      <w:r w:rsidRPr="00B13048">
        <w:rPr>
          <w:rFonts w:asciiTheme="minorHAnsi" w:hAnsiTheme="minorHAnsi" w:cstheme="minorHAnsi"/>
          <w:i/>
          <w:iCs/>
          <w:lang w:val="en-US"/>
        </w:rPr>
        <w:t xml:space="preserve">Seeing Like a State – How Certain Schemes to Improve the Human Condition Have Failed’ </w:t>
      </w:r>
      <w:r w:rsidRPr="00B13048">
        <w:rPr>
          <w:rFonts w:asciiTheme="minorHAnsi" w:hAnsiTheme="minorHAnsi" w:cstheme="minorHAnsi"/>
          <w:lang w:val="en-US"/>
        </w:rPr>
        <w:t>pp. 103–146. Yale University Press.</w:t>
      </w:r>
    </w:p>
    <w:p w14:paraId="02330DBD" w14:textId="5905DF4E" w:rsidR="003E66E0" w:rsidRPr="00B13048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B13048">
        <w:rPr>
          <w:rFonts w:asciiTheme="minorHAnsi" w:hAnsiTheme="minorHAnsi" w:cstheme="minorHAnsi"/>
          <w:color w:val="000000"/>
          <w:lang w:val="en-US"/>
        </w:rPr>
        <w:t xml:space="preserve">“Good </w:t>
      </w:r>
      <w:proofErr w:type="gramStart"/>
      <w:r w:rsidRPr="00B13048">
        <w:rPr>
          <w:rFonts w:asciiTheme="minorHAnsi" w:hAnsiTheme="minorHAnsi" w:cstheme="minorHAnsi"/>
          <w:color w:val="000000"/>
          <w:lang w:val="en-US"/>
        </w:rPr>
        <w:t>research  practice</w:t>
      </w:r>
      <w:proofErr w:type="gramEnd"/>
      <w:r w:rsidRPr="00B13048">
        <w:rPr>
          <w:rFonts w:asciiTheme="minorHAnsi" w:hAnsiTheme="minorHAnsi" w:cstheme="minorHAnsi"/>
          <w:color w:val="000000"/>
          <w:lang w:val="en-US"/>
        </w:rPr>
        <w:t>”  by  The  Swedish  Research  council (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Vetenskapsrådet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>, VR).In English:https://www.vr.se/download/18.5639980c162791bbfe697882/1555334908942/Good-Research-Practice_VR_2017.pdf</w:t>
      </w:r>
    </w:p>
    <w:p w14:paraId="2436DF65" w14:textId="6824E00F" w:rsidR="003E66E0" w:rsidRPr="00B13048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69B48C65" w14:textId="12B0CCBC" w:rsidR="003E66E0" w:rsidRPr="00B13048" w:rsidRDefault="003E66E0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B13048">
        <w:rPr>
          <w:rFonts w:asciiTheme="minorHAnsi" w:hAnsiTheme="minorHAnsi" w:cstheme="minorHAnsi"/>
          <w:color w:val="000000"/>
          <w:lang w:val="en-US"/>
        </w:rPr>
        <w:t>RGS-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IBG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 xml:space="preserve"> blog post and associated links from the 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The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 xml:space="preserve"> Royal Geographical Society: </w:t>
      </w:r>
      <w:proofErr w:type="spellStart"/>
      <w:r w:rsidRPr="00B13048">
        <w:rPr>
          <w:rFonts w:asciiTheme="minorHAnsi" w:hAnsiTheme="minorHAnsi" w:cstheme="minorHAnsi"/>
          <w:color w:val="000000"/>
          <w:lang w:val="en-US"/>
        </w:rPr>
        <w:t>Visualising</w:t>
      </w:r>
      <w:proofErr w:type="spellEnd"/>
      <w:r w:rsidRPr="00B13048">
        <w:rPr>
          <w:rFonts w:asciiTheme="minorHAnsi" w:hAnsiTheme="minorHAnsi" w:cstheme="minorHAnsi"/>
          <w:color w:val="000000"/>
          <w:lang w:val="en-US"/>
        </w:rPr>
        <w:t xml:space="preserve"> data: choosing the right map or </w:t>
      </w:r>
      <w:proofErr w:type="gramStart"/>
      <w:r w:rsidRPr="00B13048">
        <w:rPr>
          <w:rFonts w:asciiTheme="minorHAnsi" w:hAnsiTheme="minorHAnsi" w:cstheme="minorHAnsi"/>
          <w:color w:val="000000"/>
          <w:lang w:val="en-US"/>
        </w:rPr>
        <w:t>charthttps://www.rgs.org/research/higher-education-resources/data-visualisation/</w:t>
      </w:r>
      <w:proofErr w:type="gramEnd"/>
    </w:p>
    <w:p w14:paraId="6DC58E99" w14:textId="77777777" w:rsidR="00C41BDC" w:rsidRPr="00B13048" w:rsidRDefault="00C41BDC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485B6790" w14:textId="77777777" w:rsidR="00C41BDC" w:rsidRPr="00B13048" w:rsidRDefault="00C41BDC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0C093E2E" w14:textId="0CF368D3" w:rsidR="00B13048" w:rsidRDefault="00C41BDC" w:rsidP="00B13048">
      <w:pPr>
        <w:pStyle w:val="Normalwebb"/>
        <w:rPr>
          <w:rFonts w:ascii="Garamond" w:hAnsi="Garamond"/>
          <w:lang w:val="en-US"/>
        </w:rPr>
      </w:pPr>
      <w:r w:rsidRPr="00C41BDC">
        <w:rPr>
          <w:rFonts w:ascii="Garamond" w:hAnsi="Garamond"/>
          <w:lang w:val="en-US"/>
        </w:rPr>
        <w:br/>
      </w:r>
    </w:p>
    <w:p w14:paraId="316EF2DD" w14:textId="760B6258" w:rsidR="00B13048" w:rsidRDefault="00C41BDC" w:rsidP="00C41BDC">
      <w:pPr>
        <w:pStyle w:val="Normalwebb"/>
        <w:rPr>
          <w:rFonts w:ascii="Garamond" w:hAnsi="Garamond"/>
          <w:lang w:val="en-US"/>
        </w:rPr>
      </w:pPr>
      <w:r w:rsidRPr="00C41BDC">
        <w:rPr>
          <w:rFonts w:ascii="Garamond" w:hAnsi="Garamond"/>
          <w:lang w:val="en-US"/>
        </w:rPr>
        <w:br/>
      </w:r>
      <w:r w:rsidRPr="00C41BDC">
        <w:rPr>
          <w:rFonts w:ascii="Garamond" w:hAnsi="Garamond"/>
          <w:lang w:val="en-US"/>
        </w:rPr>
        <w:br/>
      </w:r>
    </w:p>
    <w:p w14:paraId="360826BB" w14:textId="77777777" w:rsidR="00C41BDC" w:rsidRPr="003E66E0" w:rsidRDefault="00C41BDC" w:rsidP="00B66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sectPr w:rsidR="00C41BDC" w:rsidRPr="003E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75"/>
    <w:rsid w:val="00146C93"/>
    <w:rsid w:val="00333FD5"/>
    <w:rsid w:val="003C025E"/>
    <w:rsid w:val="003E66E0"/>
    <w:rsid w:val="004144FC"/>
    <w:rsid w:val="005C7066"/>
    <w:rsid w:val="00603B9E"/>
    <w:rsid w:val="00692EF5"/>
    <w:rsid w:val="007B79DE"/>
    <w:rsid w:val="008E0301"/>
    <w:rsid w:val="00914435"/>
    <w:rsid w:val="00B13048"/>
    <w:rsid w:val="00B66F75"/>
    <w:rsid w:val="00B85CA3"/>
    <w:rsid w:val="00C41BDC"/>
    <w:rsid w:val="00C802B9"/>
    <w:rsid w:val="00D50B45"/>
    <w:rsid w:val="00D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9D884"/>
  <w15:docId w15:val="{33DD963B-F819-C44A-9AFC-AD1E1EE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7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6F75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Standardstycketeckensnitt"/>
    <w:rsid w:val="00B66F75"/>
  </w:style>
  <w:style w:type="paragraph" w:customStyle="1" w:styleId="xmsobodytext">
    <w:name w:val="x_msobodytext"/>
    <w:basedOn w:val="Normal"/>
    <w:rsid w:val="00B66F75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B66F75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B66F75"/>
  </w:style>
  <w:style w:type="character" w:customStyle="1" w:styleId="eop">
    <w:name w:val="eop"/>
    <w:basedOn w:val="Standardstycketeckensnitt"/>
    <w:rsid w:val="00B66F75"/>
  </w:style>
  <w:style w:type="character" w:styleId="Hyperlnk">
    <w:name w:val="Hyperlink"/>
    <w:basedOn w:val="Standardstycketeckensnitt"/>
    <w:uiPriority w:val="99"/>
    <w:unhideWhenUsed/>
    <w:rsid w:val="003E66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6E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C41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77/147447401454732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849447D2FF64685F7402A3AB2D9D0" ma:contentTypeVersion="2" ma:contentTypeDescription="Skapa ett nytt dokument." ma:contentTypeScope="" ma:versionID="a98f4a12d4cedf0c65af5fd95c178aef">
  <xsd:schema xmlns:xsd="http://www.w3.org/2001/XMLSchema" xmlns:xs="http://www.w3.org/2001/XMLSchema" xmlns:p="http://schemas.microsoft.com/office/2006/metadata/properties" xmlns:ns2="28d5f7ce-255e-4770-a3f9-bf5d88c603f7" xmlns:ns3="fd118a7b-25d1-48a3-af4e-e5b0734d6bc0" targetNamespace="http://schemas.microsoft.com/office/2006/metadata/properties" ma:root="true" ma:fieldsID="009a36ef8b0c49c3cc8674710361c2d0" ns2:_="" ns3:_="">
    <xsd:import namespace="28d5f7ce-255e-4770-a3f9-bf5d88c603f7"/>
    <xsd:import namespace="fd118a7b-25d1-48a3-af4e-e5b0734d6b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7ce-255e-4770-a3f9-bf5d88c603f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18a7b-25d1-48a3-af4e-e5b0734d6b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8d5f7ce-255e-4770-a3f9-bf5d88c603f7" xsi:nil="true"/>
    <_lisam_PublishedVersion xmlns="fd118a7b-25d1-48a3-af4e-e5b0734d6bc0" xsi:nil="true"/>
  </documentManagement>
</p:properties>
</file>

<file path=customXml/itemProps1.xml><?xml version="1.0" encoding="utf-8"?>
<ds:datastoreItem xmlns:ds="http://schemas.openxmlformats.org/officeDocument/2006/customXml" ds:itemID="{8AE2E6F1-7A16-4478-9BC8-53A05C59F9FE}"/>
</file>

<file path=customXml/itemProps2.xml><?xml version="1.0" encoding="utf-8"?>
<ds:datastoreItem xmlns:ds="http://schemas.openxmlformats.org/officeDocument/2006/customXml" ds:itemID="{2978B2CF-A2C6-43FF-9F41-ED4FA2110F7B}"/>
</file>

<file path=customXml/itemProps3.xml><?xml version="1.0" encoding="utf-8"?>
<ds:datastoreItem xmlns:ds="http://schemas.openxmlformats.org/officeDocument/2006/customXml" ds:itemID="{BEBDEEAA-5608-4B48-8BD5-4B67F270F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Sjöholm</dc:creator>
  <cp:keywords/>
  <dc:description/>
  <cp:lastModifiedBy>Jenny Sjöholm</cp:lastModifiedBy>
  <cp:revision>2</cp:revision>
  <dcterms:created xsi:type="dcterms:W3CDTF">2022-11-21T14:06:00Z</dcterms:created>
  <dcterms:modified xsi:type="dcterms:W3CDTF">2023-11-29T07:24:00Z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0x010100894849447D2FF64685F7402A3AB2D9D0</vt:lpwstr>
  </property>
</Properties>
</file>